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color w:val="FF0000"/>
          <w:kern w:val="0"/>
          <w:sz w:val="18"/>
          <w:szCs w:val="18"/>
        </w:rPr>
      </w:pPr>
      <w:r>
        <w:rPr>
          <w:rFonts w:ascii="华文中宋" w:hAnsi="华文中宋" w:eastAsia="华文中宋"/>
          <w:b/>
          <w:color w:val="FF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99060</wp:posOffset>
                </wp:positionV>
                <wp:extent cx="6515100" cy="108966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pt;margin-top:7.8pt;height:85.8pt;width:513pt;z-index:-251656192;mso-width-relative:page;mso-height-relative:page;" filled="f" stroked="f" coordsize="21600,21600" o:gfxdata="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X1DXa1gAA&#10;AAoBAAAPAAAAAAAAAAEAIAAAACIAAABkcnMvZG93bnJldi54bWxQSwECFAAUAAAACACHTuJA+xqn&#10;Ma4BAABP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/>
          <w:b/>
          <w:color w:val="FF0000"/>
          <w:kern w:val="0"/>
          <w:sz w:val="18"/>
          <w:szCs w:val="18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eastAsia="黑体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textAlignment w:val="auto"/>
        <w:rPr>
          <w:rFonts w:hint="eastAsia"/>
        </w:rPr>
      </w:pPr>
    </w:p>
    <w:p>
      <w:pPr>
        <w:pStyle w:val="6"/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湘电科校行字〔2023〕10号</w:t>
      </w: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  <w:t>关于印发《湖南电子科技职业学院2023年“互联网+”大学生创新创业大赛暨黄炎培职业教育奖创业规划大赛方案》的通知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各分院（部）、相关部门：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为进一步加强我校“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双创教育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工作的师资队伍建设，以赛促创、以赛促教、以赛促改、以赛促研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，促进教师综合素质、专业化水平和创新能力全面提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，根据年度工作安排，决定举办我校第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届“互联网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大学生创新创业大赛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暨黄炎培职业教育奖创业规划大赛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。现将《湖南电子科技职业学院2023年“互联网+”大学生创新创业大赛暨黄炎培职业教育奖创业规划大赛方案》印发给你们，请各分院认真组织，并请按要求做好参赛工作。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湖南电子科技职业学院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2023年4月18日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797" w:bottom="1418" w:left="179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湖南电子科技职业学院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2023年“互联网+</w:t>
      </w:r>
      <w:r>
        <w:rPr>
          <w:rFonts w:hint="eastAsia" w:ascii="方正小标宋简体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”大学生创新创业大赛暨黄炎培职业教育奖创业规划大赛方案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为深入贯彻党的二十大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精神， 深入实施人才强国战略、创新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驱动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发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展战略，助推湖南实施“三高四新”战略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加快建设科技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强国贡献</w:t>
      </w:r>
      <w:r>
        <w:rPr>
          <w:rFonts w:hint="eastAsia" w:ascii="仿宋" w:hAnsi="仿宋" w:eastAsia="仿宋" w:cs="仿宋"/>
          <w:sz w:val="32"/>
          <w:szCs w:val="32"/>
        </w:rPr>
        <w:t>青春力量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纵深推进“大众创业、万众创新”战略。</w:t>
      </w:r>
      <w:r>
        <w:rPr>
          <w:rFonts w:hint="eastAsia" w:ascii="仿宋" w:hAnsi="仿宋" w:eastAsia="仿宋" w:cs="仿宋"/>
          <w:sz w:val="32"/>
          <w:szCs w:val="32"/>
        </w:rPr>
        <w:t>发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挥科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技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创新引领产业发展驱动力，进一步加强思创融合、专创融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合、科创融合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启发学生的创新意识、锻炼创新思维和培养创新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能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力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全面深化高校创新创业教育改革、提升大学生创新创业能力、加快培养创新创业人才。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促进创新驱动创业、创业引领就业，持续激发大学生创新创业热情，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展示创新创业教育成果，搭建大学生创新创业项目与社会资源对接平台。根据《湖南省关于举办第九届中国国际“互联网+”大学生创新创业大赛的通知》，我校拟定于 2023年6月8日至6月9日举办2023年“互联网+”大学生创新创业大赛暨黄炎培职业教育奖创业规划大赛方案。特制定湖南电子科技职业学院校级比赛工作方案。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组织机构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顾  问：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陈  明  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李俊才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主  任：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谢国保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副主任：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熊吉华、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任丕顺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、李红波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成  员：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蒋作文、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刘承良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、肖建凡、刘建辉、余新枝、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99" w:firstLineChars="601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邓献平、莫钢栋、方建超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罗洪英、张澧生、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99" w:firstLineChars="601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周才文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刘汉章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李卫国、周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全面领导2023年度双创教育工作，为竞赛提供全面支持。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负责大赛相关工作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的领导、组织、协调、督促与检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查，处理组织过程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中的重大问题，审定大赛结果和发布表彰通报。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负责我校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“互联网+”大学生创新创业大赛暨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黄炎培职业教育奖创业规划大赛</w:t>
      </w:r>
      <w:r>
        <w:rPr>
          <w:rFonts w:hint="eastAsia" w:ascii="仿宋" w:hAnsi="仿宋" w:eastAsia="仿宋" w:cs="仿宋"/>
          <w:sz w:val="32"/>
          <w:szCs w:val="32"/>
        </w:rPr>
        <w:t>的组织、指导及聘请专家等工作；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负责统筹我校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“互联网+”大学生创新创业大赛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黄炎培职业教育奖创业规划大赛</w:t>
      </w:r>
      <w:r>
        <w:rPr>
          <w:rFonts w:hint="eastAsia" w:ascii="仿宋" w:hAnsi="仿宋" w:eastAsia="仿宋" w:cs="仿宋"/>
          <w:sz w:val="32"/>
          <w:szCs w:val="32"/>
        </w:rPr>
        <w:t>的赛事组织、大赛宣传、指导老师选聘等有关的具体工作。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四、参赛项目及要求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参赛项目能够将移动互联网、云计算、大数据、人工智能、物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联网、下一代通讯技术、区块链等新一代信息技术与经济社会各领域紧密结合，服务新型基础设施建设，培育新产品、新服务、新业态、新模式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参赛项目主要包括以下类型：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“互联网+”现代农业，包括农林牧渔等；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“互联网+”制造业，包括先进制造、智能硬件、工业自动化、生物医药、节能环保、新材料、军工等；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“互联网+”信息技术服务，包括人工智能技术、物联网技术、网络空间安全技术、大数据、云计算、工具软件、社交网络、媒体门户、企业服务、下一代通讯技术、区块链等；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“互联网+”文化创意服务，包括广播影视、设计服务、文化艺术、旅游休闲、艺术品交易、广告会展、动漫娱乐、体育竞技等；“互联网+”社会服务，包括电子商务、消费生活、金融、 财经法务、房产家居、高效物流、教育培训、医疗健康、交通、人力资源服务等。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参赛项目不只限于“互联网+”项目，鼓励各类创新创业项目参赛，根据行业背景选择相应类型。以上各类项目可自主选择参加“青年红色筑梦之旅”活动。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参赛项目涉及他人知识产权的，报名时须提交完整的具有法律效力的所有人书面授权许可书、专利证书等；已完成工商登记注册的创业项目，报名时须提交营业执照及统一社会信用代码等相关复印件、单位概况、法定代表人情况、股权结构等。参赛项目可提供当前财务数据、已获投资情况、带动就业情况等相关证明材料。在大赛通知发布前已获投资 1000 万元及以上或在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年及之前任意一个年度的收入达到 1000 万元及以上的参赛项目，请在比赛时提供相应佐证材料。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以团队为单位报名参赛。允许跨校组建团队，每个团队的参赛成员不少于 3 人，原则上不多于 15 人（含团队负责人），须为项目的实际成员。参赛团队所报参赛创业项目，须为本团队策划或经营的项目，不可借用他人项目参赛。参赛项目根据赛道相应的要求，只能选择一个符合要求的赛道参赛。已获往届中国“互联网+”大学生创新创业大赛全国总决赛各赛道金奖和银奖的项目，不可报名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第九届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大赛。已获往届国赛铜奖或省赛一等奖的项目，在自愿的基础上由项目负责人所在学校推荐（推荐项目须提前在大赛系统内报名），再直接参加我省全国大赛选拔赛（每个学校推荐项目数原则上不超过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5 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个），按评审得分从高到低竞选国赛参赛资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格，但不参与省赛评奖。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五、参赛赛道、组别和对象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（一）“青年红色筑梦之旅”赛道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参加大赛“青年红色筑梦之旅”赛道的项目必须为参加“青年红色筑梦之旅”活动的项目，且只能选择参加一个赛道。根据项目性质和特点，分为公益组、商业组。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1.公益组。参赛项目以社会价值为导向，在公益服务领域具有较好的创意、产品或服务模式的创业计划和实践，并符合以下条件：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（1）参赛申报主体为独立的公益项目或社会组织，注册或未注册成立公益机构（或社会组织）的项目均可参赛。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参赛申报人须为项目实际负责人，须为普通高等学校在校生（可为本专科生、研究生，不含在职生），或毕业5年以内的毕业生（2018年之后毕业的本专科生、研究生，不含在职生）。企业法人在全国大赛通知发布之日后进行变更的不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（3）师生共创的公益项目，若符合“青年红色筑梦之旅”赛道要求，可以参加该组。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2.商业组。参赛项目以商业手段解决农业农村和城乡社区发展的痛点问题、助力精准扶贫和乡村振兴，实现经济价值和社会价值的融合，并符合以下条件：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参赛申报人须为项目实际负责人，须为普通高等学校在校生（可为本专科生、研究生，不含在职生），或毕业5年以内的毕业生（2018年之后毕业的本专科生、研究生，不含在职生）。企业法人在全国大赛通知发布之日后进行变更的不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（2）注册或未注册成立公司的项目均可参赛。已完成工商登记注册参赛项目的股权结构中，企业法人代表的股权不得少于10%，参赛成员股权合计不得少于1/3。如已注册成立机构或公司，学生须为法人代表。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（3）师生共创的商业组项目只能参加高教主赛道，不能报名参加“青年红色筑梦之旅”赛道。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（二）职教赛道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职教赛道仅限职业院校（含高职高专、中职中专）学生报名参赛。分为创意组与创业组，具体参赛条件如下：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1.创意组。参赛项目具有较好的创意和较为成型的产品原型或服务模式，在2023年6月10日（以下时间均包含当日）前尚未完成工商登记注册。参赛申报人须为团队负责人，须为高职高专、中职中专的在校学生。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创业组。参赛项目在2023年6月10日前已完成工商登记注册，且公司注册年限不超过5年（2018年3月1日后注册）。参赛申报人须为企业法人代表，须为高职高专、中职中专的在校学生或毕业5年以内的毕业生（2018年之后毕业），企业法人在大赛通知发布之日后进行变更的不予认可。创业组已完成工商登记注册参赛项目的股权结构中，企业法人代表的股权不得少于10%，参赛成员合计不得少于1/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科技成果转化的项目可以参加创业组（不能参加创意组），允许将拥有科研成果的教师的股权与学生所持股权合并计算，合并计算的股权不得少于51%（学生团队所持股权比例不得低于26%）。教师持股比例大于学生团队持股比例的项目，只能参加高教主赛道师生共创组，不能报名参加职教赛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六、比赛规则及评审要点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（一）名额分配及比例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次大赛关乎全校师生荣誉，是全体师生展现创新创业精神昂扬风貌和青春风采的重要时刻。由于赛事时间紧、任务重，全校各二级分院和各部门须认真对待、相互配合，以保障赛事顺利开展。本次校赛指标名额数占学校报名参赛项目总数的1％（即每1000个参赛项目诞生1个指标名额），为提高我校优质参赛项目的获奖率，争取更多的指标名额，需各二级分院发动全体师生积极报名参赛，现责任到人，并将任务分解到各分院，共同配合完成四千多个参赛项目的报名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各二级分院上报大一、大二、大三学生班级系数统计，各二级分院教务组和学工组分别负责提交相关项目数参赛，各分院每个教学班由多名老师带队指导，凡在籍学生必须注册一个项目。分院汇总评审后，推荐校级竞赛指标分配如下表：</w:t>
      </w:r>
    </w:p>
    <w:tbl>
      <w:tblPr>
        <w:tblStyle w:val="9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388"/>
        <w:gridCol w:w="1815"/>
        <w:gridCol w:w="13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3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二级学院</w:t>
            </w:r>
          </w:p>
        </w:tc>
        <w:tc>
          <w:tcPr>
            <w:tcW w:w="1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教学班（个）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指标数</w:t>
            </w:r>
          </w:p>
        </w:tc>
        <w:tc>
          <w:tcPr>
            <w:tcW w:w="15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教务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/学工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人工智能与软件工程学院</w:t>
            </w:r>
          </w:p>
        </w:tc>
        <w:tc>
          <w:tcPr>
            <w:tcW w:w="1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4425</w:t>
            </w:r>
          </w:p>
        </w:tc>
        <w:tc>
          <w:tcPr>
            <w:tcW w:w="15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社会科学与经济学院</w:t>
            </w:r>
          </w:p>
        </w:tc>
        <w:tc>
          <w:tcPr>
            <w:tcW w:w="1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1414</w:t>
            </w:r>
          </w:p>
        </w:tc>
        <w:tc>
          <w:tcPr>
            <w:tcW w:w="15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建筑工程与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艺术学院</w:t>
            </w:r>
          </w:p>
        </w:tc>
        <w:tc>
          <w:tcPr>
            <w:tcW w:w="1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3118</w:t>
            </w:r>
          </w:p>
        </w:tc>
        <w:tc>
          <w:tcPr>
            <w:tcW w:w="15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3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医药学院</w:t>
            </w:r>
          </w:p>
        </w:tc>
        <w:tc>
          <w:tcPr>
            <w:tcW w:w="1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2771</w:t>
            </w:r>
          </w:p>
        </w:tc>
        <w:tc>
          <w:tcPr>
            <w:tcW w:w="15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合计</w:t>
            </w:r>
          </w:p>
        </w:tc>
        <w:tc>
          <w:tcPr>
            <w:tcW w:w="1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11728</w:t>
            </w:r>
          </w:p>
        </w:tc>
        <w:tc>
          <w:tcPr>
            <w:tcW w:w="15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4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11728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级竞赛奖励等次比例（四舍五入）为一等奖20%（4个），二等奖30%（6个），三等奖50%（10个）。学校教职工都可以担任项目团队的指导老师，要求具备创业指导师证书的每一位在职教师，至少牵头指导一个团队学生创业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（二）赛事培训与指导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大赛由招生就业处全程为参赛师生提供专业化的培训与指导。招生就业处与各二级分院教务组、学工组进行对接，负责落实本次大赛工作，指导参赛师生关于赛事流程、赛事内容、赛事参与过程中遇到的各类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（三）材料提交及要求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要求参赛团队登录大赛官方网站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全国大学生创业服务网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cy.ncss.org.cn/）了解参赛详情及要求。参赛材料为《项目申报书》（从报名平台下载）、《项目计划书》、展示视频、项目展示PPT文件。创业组和已注册企业的创意组参赛团队还需提交组织机构代码证、营业执照复印件及其其他佐证材料（专利、著作、政府批文、鉴定材料等）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参赛材料请于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前以电子版形式通过报名平台提交组委会邮箱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196626258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@qq.com。《项目计划书》电子版为WORD或PDF格式文件，大小不超过30Mb。路演P</w:t>
      </w:r>
      <w:r>
        <w:rPr>
          <w:rFonts w:ascii="仿宋_GB2312" w:hAnsi="仿宋_GB2312" w:eastAsia="仿宋_GB2312" w:cs="仿宋_GB2312"/>
          <w:sz w:val="32"/>
          <w:szCs w:val="32"/>
        </w:rPr>
        <w:t>PT格式不限</w:t>
      </w:r>
      <w:r>
        <w:rPr>
          <w:rFonts w:hint="eastAsia" w:ascii="仿宋_GB2312" w:hAnsi="仿宋_GB2312" w:eastAsia="仿宋_GB2312" w:cs="仿宋_GB2312"/>
          <w:sz w:val="32"/>
          <w:szCs w:val="32"/>
        </w:rPr>
        <w:t>。视频格式不限，需保证画面流畅，声音清晰，大小不超过1G。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（四）评审赛制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校级选拔赛采取分组项目路演和答辩制，采用线下路演和线上直播比赛现场相结合的方式，校级选拔赛时间拟定于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6月9日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，校级选拔赛地点为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北校区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学校9栋1楼报告大厅。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参赛团队进行创新创业项目展示并回答评委提问，每个项目项目展示（项目路演）时间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分钟，答辩时间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分钟。项目展示内容主要包括产品或服务介绍、市场分析及定位、商业模式、营销策略、财务分析、风险控制、发展预测、团队介绍等。可进行产品实物展示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展示及答辩过程中，语言表达简明扼要，条理清晰。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（五）评审规则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ascii="ä»¿å®‹_GB2312" w:hAnsi="ä»¿å®‹_GB2312" w:eastAsia="ä»¿å®‹_GB2312" w:cs="ä»¿å®‹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见附件一：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各赛道校赛评审规则按省赛标准，全省复赛、全国大赛选拔赛具体时间及评审规则、评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分标准届时将通过湖南省大学生就业创业网（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www.hunbys.net</w:t>
      </w:r>
      <w:r>
        <w:rPr>
          <w:rFonts w:ascii="ä»¿å®‹_GB2312" w:hAnsi="ä»¿å®‹_GB2312" w:eastAsia="ä»¿å®‹_GB2312" w:cs="ä»¿å®‹_GB2312"/>
          <w:color w:val="000000"/>
          <w:kern w:val="0"/>
          <w:sz w:val="31"/>
          <w:szCs w:val="31"/>
          <w:lang w:val="en-US" w:eastAsia="zh-CN" w:bidi="ar"/>
        </w:rPr>
        <w:t>）发布。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七、赛事工作流程如下：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第九届湖南省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“互联网+”大学生创新创业大赛采用校赛、省赛两级赛制。校赛由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我校招生就业处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牵头组织，各二级分院自主自行安排本院比赛环节和评选，评选本院优秀项目参加校赛，入围校赛的优秀项目经学校报送参加省赛评选，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省赛由各参赛学校按照大赛组委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会确定的名额择优遴选推荐项目参加国赛。赛事具体安排如下：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组织动员（4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-5月5日）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：各二级学院教学系统要充分发动任课老师和学生，将大赛通知精神宣传到位，并组织任课老师和学生召开项目研讨会议，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解读教育部的比赛通知，研讨参赛主题和参赛选题，对有意向的团队提供指导性意见。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参赛报名（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参赛团队通过登录“全国大学生创业服务网”（cy.ncss.cn）或微信公众号（“全国大学生创业服务网”或“中国‘互联网+’大学生创新创业大赛”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）大赛专题网页任一方式进行报名并上传参赛资料，提交创业计划书和路演PPT材料。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院级初赛（5月20日前完成）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截止2023年6月1日（周四）前，各二级分院负责举办本院初赛评选，并将优秀项目报送学校参加校决赛，同时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提交创业计划书和路演PPT材料，将报名信息、创业计划书和路演PPT材料电子版发送到我校招生就业处邮箱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196626258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@qq.com。为响应第九届“互联网+”大学生创业大赛精神，各二级分院需完成项目任务基数入全国大学生创业服务网报名系统，由分院书记、院长负责实施，辅导员负责具体落实。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校级决赛（6月8日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6月9日）：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校外、</w:t>
      </w:r>
      <w:r>
        <w:rPr>
          <w:rFonts w:hint="eastAsia" w:ascii="仿宋_GB2312" w:hAnsi="仿宋_GB2312" w:eastAsia="仿宋_GB2312" w:cs="仿宋_GB2312"/>
          <w:sz w:val="32"/>
          <w:szCs w:val="32"/>
        </w:rPr>
        <w:t>校内专家评审，通过举行校级决赛推荐优秀项目团队代表学校参加湖南省赛区比赛。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全省复赛（7月中旬）：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全省复赛计划分两轮进行，第一轮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为网络评审环节，包括项目计划书和项目展示 PPT，第二轮为线下路演，包括项目路演展示、评委提问，根据第二轮评审成绩分别，包括项目路演展示、评委提问，根据第二轮评审成绩分别评出各赛道各组别一、二、三等奖。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国赛选拔赛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（7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中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下旬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）：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全省复赛结束后，将组织各赛道优秀项目（原则上须为省级一等奖项目，特殊情况可由大赛组委会从二等奖中依次确定项目）竞争国赛参赛资格。选拔赛按赛道分组别比赛，同期举行。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“青年红色筑梦之旅”活动具体安排另行通知。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八、工作要求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加强组织领导。各分院和相关处室要高度重视，做好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赛事举办的</w:t>
      </w:r>
      <w:r>
        <w:rPr>
          <w:rFonts w:hint="eastAsia" w:ascii="仿宋_GB2312" w:hAnsi="仿宋_GB2312" w:eastAsia="仿宋_GB2312" w:cs="仿宋_GB2312"/>
          <w:sz w:val="32"/>
          <w:szCs w:val="32"/>
        </w:rPr>
        <w:t>沟通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，明确各部门具体负责的工作人员，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完善责任分工体系和协同机制，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推进本次赛事顺利进行。各分院要指定一名工作人员（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创业</w:t>
      </w:r>
      <w:r>
        <w:rPr>
          <w:rFonts w:hint="eastAsia" w:ascii="仿宋_GB2312" w:hAnsi="仿宋_GB2312" w:eastAsia="仿宋_GB2312" w:cs="仿宋_GB2312"/>
          <w:sz w:val="32"/>
          <w:szCs w:val="32"/>
        </w:rPr>
        <w:t>专干）专门负责与本次大赛赛点办公室的衔接工作，统筹本分院师生参与本次大赛全过程的资料收集、整理、存档、信息统计与报送等工作。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精心组织赛事。各分院和相关处室要认真做好宣传发动工作，充分利用互联网、微信等媒介广泛宣传发动，依托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辅导员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、专业教师等力量做好思想动员工作，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积极动员各学科专业及符合参赛要求的毕业生参赛，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扩大参赛比例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，达到各分院学生参赛的全覆盖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工作保障。学校对大赛给予必要的经费支持，确保大赛各项工作所需。各部门应鼓励教师积极指导学生参赛，学校对优秀指导教师给予表彰奖励，按教育厅要求将国赛、省赛最佳指导教师奖作为教师职称评审和教学业绩考核、学校青年骨干教师和学科带头人培养对象评选的优先条件。对获奖学生，在评选优秀学生、奖学金时给予适当的优先政策。同时，教师指导学生项目参赛情况纳入学校教师年终考评考核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、职称评定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，给予加分。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九、竞赛表彰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rPr>
          <w:rFonts w:eastAsia="仿宋"/>
          <w:color w:val="auto"/>
          <w:sz w:val="32"/>
          <w:szCs w:val="32"/>
          <w:lang w:bidi="ar"/>
        </w:rPr>
      </w:pPr>
      <w:r>
        <w:rPr>
          <w:rFonts w:eastAsia="仿宋"/>
          <w:color w:val="auto"/>
          <w:sz w:val="32"/>
          <w:szCs w:val="32"/>
          <w:lang w:bidi="ar"/>
        </w:rPr>
        <w:t>1</w:t>
      </w:r>
      <w:r>
        <w:rPr>
          <w:rFonts w:hint="eastAsia" w:eastAsia="仿宋"/>
          <w:color w:val="auto"/>
          <w:sz w:val="32"/>
          <w:szCs w:val="32"/>
          <w:lang w:val="en-US" w:eastAsia="zh-CN" w:bidi="ar"/>
        </w:rPr>
        <w:t>.</w:t>
      </w:r>
      <w:r>
        <w:rPr>
          <w:rFonts w:eastAsia="仿宋"/>
          <w:color w:val="auto"/>
          <w:sz w:val="32"/>
          <w:szCs w:val="32"/>
          <w:lang w:bidi="ar"/>
        </w:rPr>
        <w:t>单项</w:t>
      </w:r>
      <w:r>
        <w:rPr>
          <w:rFonts w:hint="eastAsia" w:eastAsia="仿宋"/>
          <w:color w:val="auto"/>
          <w:sz w:val="32"/>
          <w:szCs w:val="32"/>
          <w:lang w:eastAsia="zh-CN" w:bidi="ar"/>
        </w:rPr>
        <w:t>奖励以及设置比例，按《</w:t>
      </w:r>
      <w:r>
        <w:rPr>
          <w:rFonts w:hint="eastAsia" w:eastAsia="仿宋"/>
          <w:color w:val="auto"/>
          <w:sz w:val="32"/>
          <w:szCs w:val="32"/>
          <w:lang w:bidi="ar"/>
        </w:rPr>
        <w:t>湖南电子科技职业学</w:t>
      </w:r>
      <w:r>
        <w:rPr>
          <w:rFonts w:hint="eastAsia" w:eastAsia="仿宋"/>
          <w:color w:val="auto"/>
          <w:sz w:val="32"/>
          <w:szCs w:val="32"/>
          <w:lang w:eastAsia="zh-CN" w:bidi="ar"/>
        </w:rPr>
        <w:t>院</w:t>
      </w:r>
      <w:r>
        <w:rPr>
          <w:rFonts w:hint="eastAsia" w:eastAsia="仿宋"/>
          <w:color w:val="auto"/>
          <w:sz w:val="32"/>
          <w:szCs w:val="32"/>
          <w:lang w:bidi="ar"/>
        </w:rPr>
        <w:t>关于各级各类竞赛奖励的办法（修订）</w:t>
      </w:r>
      <w:r>
        <w:rPr>
          <w:rFonts w:hint="eastAsia" w:eastAsia="仿宋"/>
          <w:color w:val="auto"/>
          <w:sz w:val="32"/>
          <w:szCs w:val="32"/>
          <w:lang w:eastAsia="zh-CN" w:bidi="ar"/>
        </w:rPr>
        <w:t>》湘电科校行字〔2021〕55号文件要求执行，</w:t>
      </w:r>
      <w:r>
        <w:rPr>
          <w:rFonts w:eastAsia="仿宋"/>
          <w:color w:val="auto"/>
          <w:sz w:val="32"/>
          <w:szCs w:val="32"/>
          <w:lang w:bidi="ar"/>
        </w:rPr>
        <w:t>获奖者由学院颁发荣誉证书和奖金，并作为年度教学质量考核、评优评先、职称晋升的依据之一。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jc w:val="left"/>
        <w:textAlignment w:val="auto"/>
        <w:rPr>
          <w:rFonts w:eastAsia="仿宋"/>
          <w:color w:val="auto"/>
          <w:sz w:val="32"/>
          <w:szCs w:val="32"/>
          <w:lang w:bidi="ar"/>
        </w:rPr>
      </w:pPr>
      <w:r>
        <w:rPr>
          <w:rFonts w:eastAsia="仿宋"/>
          <w:color w:val="auto"/>
          <w:sz w:val="32"/>
          <w:szCs w:val="32"/>
          <w:lang w:bidi="ar"/>
        </w:rPr>
        <w:t>2</w:t>
      </w:r>
      <w:r>
        <w:rPr>
          <w:rFonts w:hint="eastAsia" w:eastAsia="仿宋"/>
          <w:color w:val="auto"/>
          <w:sz w:val="32"/>
          <w:szCs w:val="32"/>
          <w:lang w:val="en-US" w:eastAsia="zh-CN" w:bidi="ar"/>
        </w:rPr>
        <w:t>.</w:t>
      </w:r>
      <w:r>
        <w:rPr>
          <w:rFonts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为争取学校参加省级决赛取得好成绩，对于总分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排序前5--10名的项目团队，学校将在经费、拍摄等方面重点支持，并将团队成员中的专职教师参加省级决赛期间的周课时调整至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12 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节及以下，按参赛的实际周数每周补助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12 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课时，所补助的课时津贴按获奖等级计算（三等奖不低于学校课时津贴标准）。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eastAsia="仿宋"/>
          <w:color w:val="auto"/>
          <w:sz w:val="32"/>
          <w:szCs w:val="32"/>
          <w:lang w:bidi="ar"/>
        </w:rPr>
      </w:pPr>
      <w:r>
        <w:rPr>
          <w:rFonts w:hint="eastAsia" w:eastAsia="仿宋"/>
          <w:color w:val="auto"/>
          <w:sz w:val="32"/>
          <w:szCs w:val="32"/>
          <w:lang w:val="en-US" w:eastAsia="zh-CN" w:bidi="ar"/>
        </w:rPr>
        <w:t>3.</w:t>
      </w:r>
      <w:r>
        <w:rPr>
          <w:rFonts w:hint="eastAsia" w:eastAsia="仿宋"/>
          <w:color w:val="auto"/>
          <w:sz w:val="32"/>
          <w:szCs w:val="32"/>
          <w:lang w:bidi="ar"/>
        </w:rPr>
        <w:t>优秀组织</w:t>
      </w:r>
      <w:r>
        <w:rPr>
          <w:rFonts w:eastAsia="仿宋"/>
          <w:color w:val="auto"/>
          <w:sz w:val="32"/>
          <w:szCs w:val="32"/>
          <w:lang w:bidi="ar"/>
        </w:rPr>
        <w:t>奖。综合比赛组织情况、团队组织和作风情况、参赛作品资格审核情况、参赛作品获奖情况等因素，以分院（部）为单位设</w:t>
      </w:r>
      <w:r>
        <w:rPr>
          <w:rFonts w:hint="eastAsia" w:eastAsia="仿宋"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eastAsia="仿宋"/>
          <w:color w:val="auto"/>
          <w:sz w:val="32"/>
          <w:szCs w:val="32"/>
          <w:lang w:bidi="ar"/>
        </w:rPr>
        <w:t>个</w:t>
      </w:r>
      <w:r>
        <w:rPr>
          <w:rFonts w:eastAsia="仿宋"/>
          <w:color w:val="auto"/>
          <w:sz w:val="32"/>
          <w:szCs w:val="32"/>
          <w:lang w:bidi="ar"/>
        </w:rPr>
        <w:t>优秀组织奖，并作为部门年度考核的依据之一。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十、附件（见电子版）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各赛道评选规则详情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37" w:firstLineChars="223"/>
        <w:jc w:val="both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中国国际第九届“互联网＋”创新创业大赛商业计划书模板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湖南省黄炎培教育奖创业规划大赛计划书模板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大学生创新创业大赛推荐晋级项目汇总表</w:t>
      </w:r>
    </w:p>
    <w:tbl>
      <w:tblPr>
        <w:tblStyle w:val="8"/>
        <w:tblpPr w:leftFromText="180" w:rightFromText="180" w:vertAnchor="text" w:horzAnchor="page" w:tblpX="1539" w:tblpY="9528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92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hanging="6720" w:hangingChars="2100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湖南电子科技职业学院办公室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32"/>
                <w:szCs w:val="32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5" w:type="default"/>
      <w:pgSz w:w="11905" w:h="16838"/>
      <w:pgMar w:top="1429" w:right="1797" w:bottom="1247" w:left="1797" w:header="0" w:footer="1020" w:gutter="0"/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ä»¿å®‹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zdhMGQ4MGU5OTgyZDkxZGEwYzc1ZTIxMzY4NzkifQ=="/>
  </w:docVars>
  <w:rsids>
    <w:rsidRoot w:val="00000000"/>
    <w:rsid w:val="01642931"/>
    <w:rsid w:val="02101B4A"/>
    <w:rsid w:val="028C11CF"/>
    <w:rsid w:val="05685F23"/>
    <w:rsid w:val="0A7D7D7B"/>
    <w:rsid w:val="0E707BF7"/>
    <w:rsid w:val="0E9865F9"/>
    <w:rsid w:val="0FCC71A2"/>
    <w:rsid w:val="115455AE"/>
    <w:rsid w:val="125C296C"/>
    <w:rsid w:val="12F02E8C"/>
    <w:rsid w:val="158F4E06"/>
    <w:rsid w:val="18B352B0"/>
    <w:rsid w:val="19220545"/>
    <w:rsid w:val="19484F11"/>
    <w:rsid w:val="1A26457B"/>
    <w:rsid w:val="1A781C36"/>
    <w:rsid w:val="1F7413DC"/>
    <w:rsid w:val="22853819"/>
    <w:rsid w:val="23356FED"/>
    <w:rsid w:val="23847F75"/>
    <w:rsid w:val="28173165"/>
    <w:rsid w:val="28AB1AFF"/>
    <w:rsid w:val="2A224043"/>
    <w:rsid w:val="2F407445"/>
    <w:rsid w:val="2FB26578"/>
    <w:rsid w:val="322A2A75"/>
    <w:rsid w:val="32C71C2C"/>
    <w:rsid w:val="33AF6623"/>
    <w:rsid w:val="34763909"/>
    <w:rsid w:val="35335A03"/>
    <w:rsid w:val="353D7F83"/>
    <w:rsid w:val="361433DA"/>
    <w:rsid w:val="3C485D69"/>
    <w:rsid w:val="3CA60B04"/>
    <w:rsid w:val="3F5E56C6"/>
    <w:rsid w:val="3F830F3A"/>
    <w:rsid w:val="415F26D7"/>
    <w:rsid w:val="433504EC"/>
    <w:rsid w:val="4CDB0356"/>
    <w:rsid w:val="4D785BA5"/>
    <w:rsid w:val="4FDF4144"/>
    <w:rsid w:val="53B84F4D"/>
    <w:rsid w:val="58472C4A"/>
    <w:rsid w:val="58FB219A"/>
    <w:rsid w:val="5F1853E1"/>
    <w:rsid w:val="60844B35"/>
    <w:rsid w:val="610F0176"/>
    <w:rsid w:val="61A21CBE"/>
    <w:rsid w:val="61E3588B"/>
    <w:rsid w:val="6254799C"/>
    <w:rsid w:val="64047D3A"/>
    <w:rsid w:val="651B609A"/>
    <w:rsid w:val="654A5C21"/>
    <w:rsid w:val="65920B7D"/>
    <w:rsid w:val="6DF76C13"/>
    <w:rsid w:val="70531E2E"/>
    <w:rsid w:val="72C2773E"/>
    <w:rsid w:val="79A27982"/>
    <w:rsid w:val="7A1D1DF7"/>
    <w:rsid w:val="7C5720D7"/>
    <w:rsid w:val="7C574A54"/>
    <w:rsid w:val="7C5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6">
    <w:name w:val="HTML Preformatted"/>
    <w:basedOn w:val="1"/>
    <w:qFormat/>
    <w:uiPriority w:val="99"/>
    <w:rPr>
      <w:rFonts w:ascii="Courier New" w:hAnsi="Courier New" w:eastAsia="宋体" w:cs="Courier New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5966</Words>
  <Characters>6230</Characters>
  <Lines>0</Lines>
  <Paragraphs>0</Paragraphs>
  <TotalTime>1</TotalTime>
  <ScaleCrop>false</ScaleCrop>
  <LinksUpToDate>false</LinksUpToDate>
  <CharactersWithSpaces>6367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2023-03-31T02:32:00Z</dcterms:created>
  <dc:creator>Administrator</dc:creator>
  <cp:lastModifiedBy>Administrator</cp:lastModifiedBy>
  <cp:lastPrinted>2023-04-25T02:28:41Z</cp:lastPrinted>
  <dcterms:modified xsi:type="dcterms:W3CDTF">2023-04-25T03:16:54Z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118878AD454649A79938D51C637064E1_13</vt:lpwstr>
  </property>
</Properties>
</file>